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839"/>
        <w:gridCol w:w="7661"/>
        <w:gridCol w:w="1956"/>
      </w:tblGrid>
      <w:tr w:rsidR="00BF4ECC" w:rsidTr="00BF4EC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BF4ECC" w:rsidRDefault="00BF4ECC" w:rsidP="00DF258C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21"/>
            <w:hideMark/>
          </w:tcPr>
          <w:p w:rsidR="00BF4ECC" w:rsidRDefault="00BF4ECC" w:rsidP="00BF4ECC">
            <w:pPr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262626" w:themeColor="text1" w:themeTint="D9"/>
                <w:sz w:val="40"/>
                <w:szCs w:val="40"/>
              </w:rPr>
              <w:t>VREDNOSTI CRT, PIKE IN POVRŠINE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30A"/>
            <w:hideMark/>
          </w:tcPr>
          <w:p w:rsidR="00BF4ECC" w:rsidRDefault="00BF4ECC" w:rsidP="00DF258C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 xml:space="preserve">UL </w:t>
            </w:r>
          </w:p>
        </w:tc>
      </w:tr>
    </w:tbl>
    <w:p w:rsidR="00BF4ECC" w:rsidRDefault="00BF4ECC" w:rsidP="00BF4ECC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</w:p>
    <w:p w:rsidR="00BF4ECC" w:rsidRPr="00BF4ECC" w:rsidRDefault="00BF4ECC" w:rsidP="00BF4ECC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  <w:r>
        <w:rPr>
          <w:rFonts w:ascii="Trebuchet MS" w:eastAsia="Times New Roman" w:hAnsi="Trebuchet MS" w:cs="Times New Roman"/>
          <w:color w:val="FF0000"/>
          <w:sz w:val="28"/>
          <w:szCs w:val="28"/>
        </w:rPr>
        <w:t>Pozorno</w:t>
      </w:r>
      <w:r w:rsidRPr="00BF4ECC">
        <w:rPr>
          <w:rFonts w:ascii="Trebuchet MS" w:eastAsia="Times New Roman" w:hAnsi="Trebuchet MS" w:cs="Times New Roman"/>
          <w:color w:val="FF0000"/>
          <w:sz w:val="28"/>
          <w:szCs w:val="28"/>
        </w:rPr>
        <w:t xml:space="preserve"> preberi besedilo in naredi nalogo.</w:t>
      </w:r>
    </w:p>
    <w:p w:rsidR="00BF4ECC" w:rsidRPr="00BF4ECC" w:rsidRDefault="00BF4ECC" w:rsidP="00BF4ECC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Ok</w:t>
      </w:r>
      <w:r w:rsidRPr="00BF4ECC">
        <w:rPr>
          <w:rFonts w:ascii="Trebuchet MS" w:hAnsi="Trebuchet MS" w:cs="Arial"/>
          <w:sz w:val="24"/>
          <w:szCs w:val="24"/>
        </w:rPr>
        <w:t xml:space="preserve">virni čas za izdelavo do </w:t>
      </w:r>
      <w:r w:rsidRPr="00BF4ECC">
        <w:rPr>
          <w:rFonts w:ascii="Trebuchet MS" w:hAnsi="Trebuchet MS" w:cs="Arial"/>
          <w:b/>
          <w:color w:val="FF0000"/>
          <w:sz w:val="24"/>
          <w:szCs w:val="24"/>
        </w:rPr>
        <w:t>25.maja</w:t>
      </w:r>
      <w:r w:rsidRPr="00BF4ECC">
        <w:rPr>
          <w:rFonts w:ascii="Trebuchet MS" w:hAnsi="Trebuchet MS" w:cs="Arial"/>
          <w:sz w:val="24"/>
          <w:szCs w:val="24"/>
        </w:rPr>
        <w:t>.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Likovno področje: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RISANJE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Likovni problem: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VREDNOSTI ČRT, PIKE IN POVRŠINE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Pri naslednji likovni nalogi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 xml:space="preserve">bomo </w:t>
      </w:r>
      <w:r w:rsidRPr="00152412">
        <w:rPr>
          <w:rFonts w:ascii="Trebuchet MS" w:hAnsi="Trebuchet MS" w:cs="Arial"/>
          <w:b/>
          <w:sz w:val="24"/>
          <w:szCs w:val="24"/>
        </w:rPr>
        <w:t xml:space="preserve">bogatili </w:t>
      </w:r>
      <w:r w:rsidRPr="00152412">
        <w:rPr>
          <w:rFonts w:ascii="Trebuchet MS" w:hAnsi="Trebuchet MS" w:cs="Arial"/>
          <w:sz w:val="24"/>
          <w:szCs w:val="24"/>
        </w:rPr>
        <w:t>opazovalne sposobnosti</w:t>
      </w:r>
      <w:r w:rsidRPr="00152412">
        <w:rPr>
          <w:rFonts w:ascii="Trebuchet MS" w:hAnsi="Trebuchet MS" w:cs="Arial"/>
          <w:sz w:val="24"/>
          <w:szCs w:val="24"/>
        </w:rPr>
        <w:t xml:space="preserve">, </w:t>
      </w:r>
      <w:r w:rsidRPr="00152412">
        <w:rPr>
          <w:rFonts w:ascii="Trebuchet MS" w:hAnsi="Trebuchet MS" w:cs="Arial"/>
          <w:sz w:val="24"/>
          <w:szCs w:val="24"/>
        </w:rPr>
        <w:t>se navajali</w:t>
      </w:r>
      <w:r w:rsidRPr="00152412">
        <w:rPr>
          <w:rFonts w:ascii="Trebuchet MS" w:hAnsi="Trebuchet MS" w:cs="Arial"/>
          <w:sz w:val="24"/>
          <w:szCs w:val="24"/>
        </w:rPr>
        <w:t xml:space="preserve"> </w:t>
      </w:r>
      <w:r w:rsidRPr="00152412">
        <w:rPr>
          <w:rFonts w:ascii="Trebuchet MS" w:hAnsi="Trebuchet MS" w:cs="Arial"/>
          <w:sz w:val="24"/>
          <w:szCs w:val="24"/>
        </w:rPr>
        <w:t>na doslednost pri opazovanju motiva i</w:t>
      </w:r>
      <w:r w:rsidRPr="00152412">
        <w:rPr>
          <w:rFonts w:ascii="Trebuchet MS" w:hAnsi="Trebuchet MS" w:cs="Arial"/>
          <w:sz w:val="24"/>
          <w:szCs w:val="24"/>
        </w:rPr>
        <w:t xml:space="preserve">n </w:t>
      </w:r>
      <w:r w:rsidRPr="00152412">
        <w:rPr>
          <w:rFonts w:ascii="Trebuchet MS" w:hAnsi="Trebuchet MS" w:cs="Arial"/>
          <w:sz w:val="24"/>
          <w:szCs w:val="24"/>
        </w:rPr>
        <w:t>z</w:t>
      </w:r>
      <w:r w:rsidRPr="00152412">
        <w:rPr>
          <w:rFonts w:ascii="Trebuchet MS" w:hAnsi="Trebuchet MS" w:cs="Arial"/>
          <w:sz w:val="24"/>
          <w:szCs w:val="24"/>
        </w:rPr>
        <w:t>a</w:t>
      </w:r>
      <w:r w:rsidRPr="00152412">
        <w:rPr>
          <w:rFonts w:ascii="Trebuchet MS" w:hAnsi="Trebuchet MS" w:cs="Arial"/>
          <w:sz w:val="24"/>
          <w:szCs w:val="24"/>
        </w:rPr>
        <w:t>polnjevanju</w:t>
      </w:r>
      <w:r w:rsidRPr="00BF4ECC">
        <w:rPr>
          <w:rFonts w:ascii="Trebuchet MS" w:hAnsi="Trebuchet MS" w:cs="Arial"/>
          <w:sz w:val="24"/>
          <w:szCs w:val="24"/>
        </w:rPr>
        <w:t xml:space="preserve"> površin. Skušali si bomo privzgojiti </w:t>
      </w:r>
      <w:r w:rsidRPr="00152412">
        <w:rPr>
          <w:rFonts w:ascii="Trebuchet MS" w:hAnsi="Trebuchet MS" w:cs="Arial"/>
          <w:b/>
          <w:sz w:val="24"/>
          <w:szCs w:val="24"/>
        </w:rPr>
        <w:t>čut za uravnoteženo razporejanje svetlih in temnih površin</w:t>
      </w:r>
      <w:r w:rsidRPr="00BF4ECC">
        <w:rPr>
          <w:rFonts w:ascii="Trebuchet MS" w:hAnsi="Trebuchet MS" w:cs="Arial"/>
          <w:sz w:val="24"/>
          <w:szCs w:val="24"/>
        </w:rPr>
        <w:t xml:space="preserve"> po risarskem formatu.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Likovna tehnika: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Risarske tehnike (flomastri, svinčnik, suhe barvice, voščenke</w:t>
      </w:r>
      <w:r w:rsidR="00152412">
        <w:rPr>
          <w:rFonts w:ascii="Trebuchet MS" w:hAnsi="Trebuchet MS" w:cs="Arial"/>
          <w:sz w:val="24"/>
          <w:szCs w:val="24"/>
        </w:rPr>
        <w:t>, kar pač imaš doma</w:t>
      </w:r>
      <w:r w:rsidRPr="00BF4ECC">
        <w:rPr>
          <w:rFonts w:ascii="Trebuchet MS" w:hAnsi="Trebuchet MS" w:cs="Arial"/>
          <w:sz w:val="24"/>
          <w:szCs w:val="24"/>
        </w:rPr>
        <w:t>...)</w:t>
      </w:r>
      <w:r w:rsidR="00152412">
        <w:rPr>
          <w:rFonts w:ascii="Trebuchet MS" w:hAnsi="Trebuchet MS" w:cs="Arial"/>
          <w:sz w:val="24"/>
          <w:szCs w:val="24"/>
        </w:rPr>
        <w:t>. Nariši vsako žival z drugo barvo, ali vse z eno barvo.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Likovni motiv: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Skupina najmanj treh enakih živali po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lastni izbiri (živalska družina)</w:t>
      </w:r>
    </w:p>
    <w:p w:rsidR="00BF4ECC" w:rsidRPr="00BF4ECC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Ponovimo na kratko.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O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linijah,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točkah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in barvnih ploskvah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vemo že zelo veliko. Črte so lahko debele, tanke, ravne, krive in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tako naprej. Spomni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se na prvo likovno nalogo, ki smo jo delali lansko jesen</w:t>
      </w:r>
      <w:r w:rsidRPr="00BF4ECC">
        <w:rPr>
          <w:rFonts w:ascii="Trebuchet MS" w:hAnsi="Trebuchet MS" w:cs="Arial"/>
          <w:sz w:val="24"/>
          <w:szCs w:val="24"/>
        </w:rPr>
        <w:t xml:space="preserve">, prelistaj zvezek in </w:t>
      </w:r>
      <w:r w:rsidRPr="00BF4ECC">
        <w:rPr>
          <w:rFonts w:ascii="Trebuchet MS" w:hAnsi="Trebuchet MS" w:cs="Arial"/>
          <w:sz w:val="24"/>
          <w:szCs w:val="24"/>
        </w:rPr>
        <w:t>ponovi vse o liniji in točki. Podobno so tudi točke različnih oblik. Če združimo več linij ali točk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v enovito celoto pa dobimo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barvno ploskev. Ploskev lahko tudi obrobimo s črto, ki smo jo imenovali kontura.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Linije in točke lahko tako zgostimo, da se zlijejo v enovito barvno ploskev.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</w:p>
    <w:p w:rsidR="00152412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Likovna naloga: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Nariši živalsko družino</w:t>
      </w:r>
      <w:r w:rsidR="00152412">
        <w:rPr>
          <w:rFonts w:ascii="Trebuchet MS" w:hAnsi="Trebuchet MS" w:cs="Arial"/>
          <w:sz w:val="24"/>
          <w:szCs w:val="24"/>
        </w:rPr>
        <w:t xml:space="preserve">: </w:t>
      </w:r>
      <w:r w:rsidRPr="00BF4ECC">
        <w:rPr>
          <w:rFonts w:ascii="Trebuchet MS" w:hAnsi="Trebuchet MS" w:cs="Arial"/>
          <w:sz w:val="24"/>
          <w:szCs w:val="24"/>
        </w:rPr>
        <w:t>ptice, ribe, mačke</w:t>
      </w:r>
      <w:r w:rsidR="00152412">
        <w:rPr>
          <w:rFonts w:ascii="Trebuchet MS" w:hAnsi="Trebuchet MS" w:cs="Arial"/>
          <w:sz w:val="24"/>
          <w:szCs w:val="24"/>
        </w:rPr>
        <w:t>, kužke… (poišči v knjigah ali na spletu)</w:t>
      </w:r>
      <w:r w:rsidRPr="00BF4ECC">
        <w:rPr>
          <w:rFonts w:ascii="Trebuchet MS" w:hAnsi="Trebuchet MS" w:cs="Arial"/>
          <w:sz w:val="24"/>
          <w:szCs w:val="24"/>
        </w:rPr>
        <w:t>. Začni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z obrisom</w:t>
      </w:r>
      <w:r w:rsidR="00152412">
        <w:rPr>
          <w:rFonts w:ascii="Trebuchet MS" w:hAnsi="Trebuchet MS" w:cs="Arial"/>
          <w:sz w:val="24"/>
          <w:szCs w:val="24"/>
        </w:rPr>
        <w:t>,</w:t>
      </w:r>
      <w:r w:rsidRPr="00BF4ECC">
        <w:rPr>
          <w:rFonts w:ascii="Trebuchet MS" w:hAnsi="Trebuchet MS" w:cs="Arial"/>
          <w:sz w:val="24"/>
          <w:szCs w:val="24"/>
        </w:rPr>
        <w:t xml:space="preserve"> nato pa z linijami in točkami izpolni površino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posameznega dela</w:t>
      </w:r>
      <w:r w:rsidRPr="00BF4ECC">
        <w:rPr>
          <w:rFonts w:ascii="Trebuchet MS" w:hAnsi="Trebuchet MS" w:cs="Arial"/>
          <w:sz w:val="24"/>
          <w:szCs w:val="24"/>
        </w:rPr>
        <w:t xml:space="preserve"> živali. Npr. v</w:t>
      </w:r>
      <w:r w:rsidRPr="00BF4ECC">
        <w:rPr>
          <w:rFonts w:ascii="Trebuchet MS" w:hAnsi="Trebuchet MS" w:cs="Arial"/>
          <w:sz w:val="24"/>
          <w:szCs w:val="24"/>
        </w:rPr>
        <w:t>sako ribjo lusko, pero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ptice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ali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bodice ježa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malo drugače...</w:t>
      </w:r>
    </w:p>
    <w:p w:rsidR="005F4109" w:rsidRDefault="00BF4ECC">
      <w:pPr>
        <w:rPr>
          <w:rFonts w:ascii="Trebuchet MS" w:hAnsi="Trebuchet MS" w:cs="Arial"/>
          <w:sz w:val="24"/>
          <w:szCs w:val="24"/>
        </w:rPr>
      </w:pPr>
      <w:r w:rsidRPr="00BF4ECC">
        <w:rPr>
          <w:rFonts w:ascii="Trebuchet MS" w:hAnsi="Trebuchet MS" w:cs="Arial"/>
          <w:sz w:val="24"/>
          <w:szCs w:val="24"/>
        </w:rPr>
        <w:t>Če</w:t>
      </w:r>
      <w:r w:rsidRPr="00BF4ECC">
        <w:rPr>
          <w:rFonts w:ascii="Trebuchet MS" w:hAnsi="Trebuchet MS" w:cs="Arial"/>
          <w:sz w:val="24"/>
          <w:szCs w:val="24"/>
        </w:rPr>
        <w:t xml:space="preserve"> </w:t>
      </w:r>
      <w:r w:rsidRPr="00BF4ECC">
        <w:rPr>
          <w:rFonts w:ascii="Trebuchet MS" w:hAnsi="Trebuchet MS" w:cs="Arial"/>
          <w:sz w:val="24"/>
          <w:szCs w:val="24"/>
        </w:rPr>
        <w:t>nimaš risalnega lista poišči kak star koledar ali plakat.</w:t>
      </w:r>
    </w:p>
    <w:p w:rsid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</w:pPr>
      <w:r w:rsidRPr="00152412"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  <w:t xml:space="preserve">To </w:t>
      </w:r>
      <w:r w:rsidRPr="00152412">
        <w:rPr>
          <w:rFonts w:ascii="Trebuchet MS" w:eastAsia="Times New Roman" w:hAnsi="Trebuchet MS" w:cs="Times New Roman"/>
          <w:b/>
          <w:noProof/>
          <w:color w:val="000000" w:themeColor="text1"/>
          <w:sz w:val="24"/>
          <w:szCs w:val="24"/>
          <w:lang w:eastAsia="sl-SI"/>
        </w:rPr>
        <w:t>nalogo bom ocenila</w:t>
      </w:r>
      <w:r w:rsidRPr="00152412"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  <w:t>, zato se drži navodil, katera mi bodo v pomoč pri vrednotenju tvojega izdelka (</w:t>
      </w:r>
      <w:r w:rsidRPr="00152412">
        <w:rPr>
          <w:rFonts w:ascii="Trebuchet MS" w:eastAsia="Times New Roman" w:hAnsi="Trebuchet MS" w:cs="Times New Roman"/>
          <w:b/>
          <w:noProof/>
          <w:color w:val="C00000"/>
          <w:sz w:val="24"/>
          <w:szCs w:val="24"/>
          <w:lang w:eastAsia="sl-SI"/>
        </w:rPr>
        <w:t>pomembno je, da upoštevaš krepki tisk</w:t>
      </w:r>
      <w:r w:rsidRPr="00152412"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  <w:t xml:space="preserve">). BODI USTVARJALEN! </w:t>
      </w:r>
    </w:p>
    <w:p w:rsidR="00152412" w:rsidRP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</w:pPr>
      <w:r w:rsidRPr="00152412"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  <w:t>Vsekakor sem ti na voljo ves ta čas, da mi pišeš!</w:t>
      </w:r>
    </w:p>
    <w:p w:rsidR="00152412" w:rsidRP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noProof/>
          <w:color w:val="000000" w:themeColor="text1"/>
          <w:sz w:val="24"/>
          <w:szCs w:val="24"/>
          <w:lang w:eastAsia="sl-SI"/>
        </w:rPr>
      </w:pPr>
    </w:p>
    <w:p w:rsidR="006C397C" w:rsidRDefault="006C397C" w:rsidP="0015241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6C397C" w:rsidTr="00433D7F">
        <w:tc>
          <w:tcPr>
            <w:tcW w:w="7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397C" w:rsidRDefault="006C397C" w:rsidP="00152412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01A8B432">
                  <wp:extent cx="2066298" cy="3042285"/>
                  <wp:effectExtent l="0" t="0" r="0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07" cy="3059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3D7F">
              <w:rPr>
                <w:rFonts w:ascii="Trebuchet MS" w:eastAsia="Times New Roman" w:hAnsi="Trebuchet MS" w:cs="Times New Roman"/>
                <w:noProof/>
                <w:color w:val="000000" w:themeColor="text1"/>
                <w:sz w:val="24"/>
                <w:szCs w:val="24"/>
                <w:lang w:eastAsia="sl-SI"/>
              </w:rPr>
              <w:t xml:space="preserve">   </w:t>
            </w:r>
            <w:bookmarkStart w:id="0" w:name="_GoBack"/>
            <w:r>
              <w:rPr>
                <w:rFonts w:ascii="Trebuchet MS" w:eastAsia="Times New Roman" w:hAnsi="Trebuchet MS" w:cs="Times New Roman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0772210A">
                  <wp:extent cx="2209800" cy="2928921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129" cy="2950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433D7F" w:rsidRDefault="006C397C" w:rsidP="00152412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 w:themeColor="text1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814070</wp:posOffset>
                      </wp:positionV>
                      <wp:extent cx="914400" cy="914400"/>
                      <wp:effectExtent l="19050" t="19050" r="38100" b="3810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CBF9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5" o:spid="_x0000_s1026" type="#_x0000_t96" style="position:absolute;margin-left:44.7pt;margin-top:6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" fillcolor="#ffc000" strokecolor="#1f4d78 [1604]" strokeweight="4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Podobno nalogo smo </w:t>
            </w:r>
          </w:p>
          <w:p w:rsidR="00433D7F" w:rsidRDefault="006C397C" w:rsidP="00152412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že delali v šoli, </w:t>
            </w:r>
          </w:p>
          <w:p w:rsidR="00433D7F" w:rsidRDefault="006C397C" w:rsidP="00152412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ostala je </w:t>
            </w:r>
          </w:p>
          <w:p w:rsidR="006C397C" w:rsidRDefault="006C397C" w:rsidP="00152412">
            <w:pP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nedokončana </w:t>
            </w:r>
          </w:p>
        </w:tc>
      </w:tr>
    </w:tbl>
    <w:p w:rsid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152412" w:rsidRP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 xml:space="preserve">V pomoč </w:t>
      </w:r>
      <w:r w:rsidRPr="0015241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ti je lahko naslednja tabela, da boš laže zapolnil površine živali.</w:t>
      </w:r>
    </w:p>
    <w:p w:rsidR="00152412" w:rsidRP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152412" w:rsidRPr="00152412" w:rsidRDefault="00152412" w:rsidP="00152412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152412">
        <w:rPr>
          <w:rFonts w:ascii="Trebuchet MS" w:eastAsia="Times New Roman" w:hAnsi="Trebuchet MS" w:cs="Times New Roman"/>
          <w:sz w:val="24"/>
          <w:szCs w:val="24"/>
        </w:rPr>
        <w:t>S svinčnikom v prazne prostorčke nariši (</w:t>
      </w:r>
      <w:r w:rsidRPr="00152412">
        <w:rPr>
          <w:rFonts w:ascii="Trebuchet MS" w:eastAsia="Times New Roman" w:hAnsi="Trebuchet MS" w:cs="Times New Roman"/>
          <w:color w:val="FF0000"/>
          <w:sz w:val="24"/>
          <w:szCs w:val="24"/>
        </w:rPr>
        <w:t>tabelo si preriši v zvezek</w:t>
      </w:r>
      <w:r>
        <w:rPr>
          <w:rFonts w:ascii="Trebuchet MS" w:eastAsia="Times New Roman" w:hAnsi="Trebuchet MS" w:cs="Times New Roman"/>
          <w:color w:val="FF0000"/>
          <w:sz w:val="24"/>
          <w:szCs w:val="24"/>
        </w:rPr>
        <w:t>, ne tiskaj</w:t>
      </w:r>
      <w:r w:rsidRPr="00152412">
        <w:rPr>
          <w:rFonts w:ascii="Trebuchet MS" w:eastAsia="Times New Roman" w:hAnsi="Trebuchet MS" w:cs="Times New Roman"/>
          <w:sz w:val="24"/>
          <w:szCs w:val="24"/>
        </w:rPr>
        <w:t>):</w:t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gosto nizanje črt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nizanje črt z večjimi presledki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gosto križanje črt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križanje črt z redkimi presledki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enakomerno nizanje črt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ind w:left="720"/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neenakomerno nizanje črt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temnejša ploskev (gosto nizanje in križanje črt in točk)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52412" w:rsidRPr="00152412" w:rsidTr="00DF258C">
        <w:tc>
          <w:tcPr>
            <w:tcW w:w="5228" w:type="dxa"/>
          </w:tcPr>
          <w:p w:rsidR="00152412" w:rsidRPr="00152412" w:rsidRDefault="00152412" w:rsidP="00152412">
            <w:pPr>
              <w:numPr>
                <w:ilvl w:val="0"/>
                <w:numId w:val="1"/>
              </w:numPr>
              <w:contextualSpacing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15241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svetlejša ploskev (nizanje in križanje črt in točk z redkimi presledki)</w:t>
            </w:r>
          </w:p>
        </w:tc>
        <w:tc>
          <w:tcPr>
            <w:tcW w:w="5228" w:type="dxa"/>
          </w:tcPr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  <w:p w:rsidR="00152412" w:rsidRPr="00152412" w:rsidRDefault="00152412" w:rsidP="0015241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152412" w:rsidRPr="00152412" w:rsidRDefault="00152412" w:rsidP="0015241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6C397C" w:rsidRDefault="006C397C" w:rsidP="006C397C">
      <w:pPr>
        <w:spacing w:after="0" w:line="240" w:lineRule="auto"/>
        <w:rPr>
          <w:rFonts w:ascii="Trebuchet MS" w:eastAsia="Times New Roman" w:hAnsi="Trebuchet MS" w:cs="Times New Roman"/>
          <w:b/>
          <w:noProof/>
          <w:color w:val="FF0000"/>
          <w:sz w:val="24"/>
          <w:szCs w:val="24"/>
          <w:lang w:eastAsia="sl-SI"/>
        </w:rPr>
      </w:pPr>
      <w:r w:rsidRPr="00152412">
        <w:rPr>
          <w:rFonts w:ascii="Trebuchet MS" w:eastAsia="Times New Roman" w:hAnsi="Trebuchet MS" w:cs="Times New Roman"/>
          <w:b/>
          <w:noProof/>
          <w:color w:val="FF0000"/>
          <w:sz w:val="24"/>
          <w:szCs w:val="24"/>
          <w:lang w:eastAsia="sl-SI"/>
        </w:rPr>
        <w:t>Za dokončanje naloge imaš čas do 25. maja.</w:t>
      </w:r>
    </w:p>
    <w:p w:rsidR="00433D7F" w:rsidRPr="00152412" w:rsidRDefault="00433D7F" w:rsidP="006C397C">
      <w:pPr>
        <w:spacing w:after="0" w:line="240" w:lineRule="auto"/>
        <w:rPr>
          <w:rFonts w:ascii="Trebuchet MS" w:eastAsia="Times New Roman" w:hAnsi="Trebuchet MS" w:cs="Times New Roman"/>
          <w:b/>
          <w:noProof/>
          <w:color w:val="FF0000"/>
          <w:sz w:val="24"/>
          <w:szCs w:val="24"/>
          <w:lang w:eastAsia="sl-SI"/>
        </w:rPr>
      </w:pPr>
    </w:p>
    <w:p w:rsidR="00433D7F" w:rsidRDefault="006C397C" w:rsidP="006C397C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152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NALOGO </w:t>
      </w:r>
      <w:r w:rsidR="00433D7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(brez tabele) </w:t>
      </w:r>
      <w:r w:rsidRPr="00152412">
        <w:rPr>
          <w:rFonts w:ascii="Trebuchet MS" w:eastAsia="Times New Roman" w:hAnsi="Trebuchet MS" w:cs="Times New Roman"/>
          <w:color w:val="000000"/>
          <w:sz w:val="24"/>
          <w:szCs w:val="24"/>
        </w:rPr>
        <w:t>FOTOGRAFIRAJ IN MI JO POŠLJI NA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NASLOV</w:t>
      </w:r>
      <w:r w:rsidRPr="00152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152412" w:rsidRPr="00BF4ECC" w:rsidRDefault="006C397C" w:rsidP="006C397C">
      <w:pPr>
        <w:rPr>
          <w:rFonts w:ascii="Trebuchet MS" w:hAnsi="Trebuchet MS" w:cs="Arial"/>
          <w:sz w:val="24"/>
          <w:szCs w:val="24"/>
        </w:rPr>
      </w:pPr>
      <w:hyperlink r:id="rId7" w:history="1">
        <w:r w:rsidRPr="0063113B">
          <w:rPr>
            <w:rStyle w:val="Hiperpovezava"/>
            <w:rFonts w:ascii="Trebuchet MS" w:eastAsia="Times New Roman" w:hAnsi="Trebuchet MS" w:cs="Times New Roman"/>
            <w:b/>
            <w:sz w:val="24"/>
            <w:szCs w:val="24"/>
          </w:rPr>
          <w:t>andreja.kveder@os-dobrna.si</w:t>
        </w:r>
      </w:hyperlink>
      <w:r w:rsidRPr="00152412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.</w:t>
      </w:r>
    </w:p>
    <w:sectPr w:rsidR="00152412" w:rsidRPr="00BF4ECC" w:rsidSect="00BF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C"/>
    <w:rsid w:val="00152412"/>
    <w:rsid w:val="00433D7F"/>
    <w:rsid w:val="005F4109"/>
    <w:rsid w:val="006C397C"/>
    <w:rsid w:val="00B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1457-7534-41CC-A619-8B889C3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152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2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kveder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2020-05-03T14:28:00Z</dcterms:created>
  <dcterms:modified xsi:type="dcterms:W3CDTF">2020-05-03T15:08:00Z</dcterms:modified>
</cp:coreProperties>
</file>